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5F3B" w:rsidRPr="00A35F3B" w:rsidRDefault="00A35F3B" w:rsidP="00A35F3B">
      <w:pPr>
        <w:spacing w:after="0" w:line="240" w:lineRule="auto"/>
        <w:rPr>
          <w:rFonts w:ascii="Times New Roman" w:eastAsia="Times New Roman" w:hAnsi="Times New Roman" w:cs="Times New Roman"/>
          <w:sz w:val="24"/>
          <w:szCs w:val="24"/>
        </w:rPr>
      </w:pPr>
      <w:r w:rsidRPr="00A35F3B">
        <w:rPr>
          <w:rFonts w:ascii="Times New Roman" w:eastAsia="Times New Roman" w:hAnsi="Times New Roman" w:cs="Times New Roman"/>
          <w:sz w:val="24"/>
          <w:szCs w:val="24"/>
        </w:rPr>
        <w:t>Sports: Illustrating U.S. History in the Classroom</w:t>
      </w:r>
      <w:r w:rsidRPr="00A35F3B">
        <w:rPr>
          <w:rFonts w:ascii="Times New Roman" w:eastAsia="Times New Roman" w:hAnsi="Times New Roman" w:cs="Times New Roman"/>
          <w:sz w:val="24"/>
          <w:szCs w:val="24"/>
        </w:rPr>
        <w:br/>
        <w:t xml:space="preserve">by Bruce </w:t>
      </w:r>
      <w:proofErr w:type="spellStart"/>
      <w:r w:rsidRPr="00A35F3B">
        <w:rPr>
          <w:rFonts w:ascii="Times New Roman" w:eastAsia="Times New Roman" w:hAnsi="Times New Roman" w:cs="Times New Roman"/>
          <w:sz w:val="24"/>
          <w:szCs w:val="24"/>
        </w:rPr>
        <w:t>Lesh</w:t>
      </w:r>
      <w:proofErr w:type="spellEnd"/>
      <w:r w:rsidRPr="00A35F3B">
        <w:rPr>
          <w:rFonts w:ascii="Times New Roman" w:eastAsia="Times New Roman" w:hAnsi="Times New Roman" w:cs="Times New Roman"/>
          <w:sz w:val="24"/>
          <w:szCs w:val="24"/>
        </w:rPr>
        <w:t xml:space="preserve"> and Philip </w:t>
      </w:r>
      <w:proofErr w:type="spellStart"/>
      <w:r w:rsidRPr="00A35F3B">
        <w:rPr>
          <w:rFonts w:ascii="Times New Roman" w:eastAsia="Times New Roman" w:hAnsi="Times New Roman" w:cs="Times New Roman"/>
          <w:sz w:val="24"/>
          <w:szCs w:val="24"/>
        </w:rPr>
        <w:t>Nicolosi</w:t>
      </w:r>
      <w:proofErr w:type="spellEnd"/>
    </w:p>
    <w:p w:rsidR="00A35F3B" w:rsidRPr="00A35F3B" w:rsidRDefault="00A35F3B" w:rsidP="00A35F3B">
      <w:pPr>
        <w:spacing w:before="100" w:beforeAutospacing="1" w:after="100" w:afterAutospacing="1" w:line="240" w:lineRule="auto"/>
        <w:rPr>
          <w:rFonts w:ascii="Times New Roman" w:eastAsia="Times New Roman" w:hAnsi="Times New Roman" w:cs="Times New Roman"/>
          <w:sz w:val="24"/>
          <w:szCs w:val="24"/>
        </w:rPr>
      </w:pPr>
      <w:r w:rsidRPr="00A35F3B">
        <w:rPr>
          <w:rFonts w:ascii="Times New Roman" w:eastAsia="Times New Roman" w:hAnsi="Times New Roman" w:cs="Times New Roman"/>
          <w:sz w:val="24"/>
          <w:szCs w:val="24"/>
        </w:rPr>
        <w:t xml:space="preserve">Social, political, and economic changes wrought from the crucibles of race or gender can provoke difficult to manage conversations in the classroom. When fostering these classroom discussions, it is never long before a student conflates today's realities about race and gender and applies them in an </w:t>
      </w:r>
      <w:proofErr w:type="spellStart"/>
      <w:r w:rsidRPr="00A35F3B">
        <w:rPr>
          <w:rFonts w:ascii="Times New Roman" w:eastAsia="Times New Roman" w:hAnsi="Times New Roman" w:cs="Times New Roman"/>
          <w:sz w:val="24"/>
          <w:szCs w:val="24"/>
        </w:rPr>
        <w:t>ahistorical</w:t>
      </w:r>
      <w:proofErr w:type="spellEnd"/>
      <w:r w:rsidRPr="00A35F3B">
        <w:rPr>
          <w:rFonts w:ascii="Times New Roman" w:eastAsia="Times New Roman" w:hAnsi="Times New Roman" w:cs="Times New Roman"/>
          <w:sz w:val="24"/>
          <w:szCs w:val="24"/>
        </w:rPr>
        <w:t xml:space="preserve"> manner to the past. "That is where they belong," is a unfortunate refrain when discussing shifting norms related to gender, while “I wasn't alive then,” or “my ancestors didn't own slaves,” are bandied about when racial equality is discussed. Students discomforted by talking about race and gender often resort to stereotypes and gross generalizations to deal with these topics in the classroom. Sports, be it professional or recreational, is a useful lens through which race and gender and their influence on twentieth century American history can be examined. </w:t>
      </w:r>
    </w:p>
    <w:p w:rsidR="00A35F3B" w:rsidRPr="00A35F3B" w:rsidRDefault="00A35F3B" w:rsidP="00A35F3B">
      <w:pPr>
        <w:spacing w:before="100" w:beforeAutospacing="1" w:after="100" w:afterAutospacing="1" w:line="240" w:lineRule="auto"/>
        <w:rPr>
          <w:rFonts w:ascii="Times New Roman" w:eastAsia="Times New Roman" w:hAnsi="Times New Roman" w:cs="Times New Roman"/>
          <w:sz w:val="24"/>
          <w:szCs w:val="24"/>
        </w:rPr>
      </w:pPr>
      <w:r w:rsidRPr="00A35F3B">
        <w:rPr>
          <w:rFonts w:ascii="Times New Roman" w:eastAsia="Times New Roman" w:hAnsi="Times New Roman" w:cs="Times New Roman"/>
          <w:sz w:val="24"/>
          <w:szCs w:val="24"/>
        </w:rPr>
        <w:t xml:space="preserve">Athletics can either override the gender or racial prejudices that exist in society or provide the arena by which discrimination’s ugly face is exposed. Students today certainly do not know the trials and tribulations of a sit-in, protest march, or the pain of certain types of discrimination. However, many students can relate to playing on a team with a diverse group of students, on one that did not exist a generation earlier, or on another that was once closed to a particular group. Therefore, students can see the relevance of history to their own lives, better appreciate the struggles of those who paved the way for something they enjoy playing or watching, and gain a nuanced understanding of the controversial issues we teach. By providing concrete examples such as the integration of Major League Baseball by Jackie Robinson, the political defiance and evolution of Cassius Clay into Muhammad Ali, or the public challenge to gender stereotypes engendered by the actions of Billie Jean King, teachers can make available a forum for students to examine the realities of racial and gender discrimination in historical context. </w:t>
      </w:r>
    </w:p>
    <w:p w:rsidR="00A35F3B" w:rsidRPr="00A35F3B" w:rsidRDefault="00A35F3B" w:rsidP="00A35F3B">
      <w:pPr>
        <w:spacing w:before="100" w:beforeAutospacing="1" w:after="100" w:afterAutospacing="1" w:line="240" w:lineRule="auto"/>
        <w:rPr>
          <w:rFonts w:ascii="Times New Roman" w:eastAsia="Times New Roman" w:hAnsi="Times New Roman" w:cs="Times New Roman"/>
          <w:sz w:val="24"/>
          <w:szCs w:val="24"/>
        </w:rPr>
      </w:pPr>
      <w:r w:rsidRPr="00A35F3B">
        <w:rPr>
          <w:rFonts w:ascii="Times New Roman" w:eastAsia="Times New Roman" w:hAnsi="Times New Roman" w:cs="Times New Roman"/>
          <w:sz w:val="24"/>
          <w:szCs w:val="24"/>
        </w:rPr>
        <w:t xml:space="preserve">Mark </w:t>
      </w:r>
      <w:proofErr w:type="spellStart"/>
      <w:r w:rsidRPr="00A35F3B">
        <w:rPr>
          <w:rFonts w:ascii="Times New Roman" w:eastAsia="Times New Roman" w:hAnsi="Times New Roman" w:cs="Times New Roman"/>
          <w:sz w:val="24"/>
          <w:szCs w:val="24"/>
        </w:rPr>
        <w:t>Naison’s</w:t>
      </w:r>
      <w:proofErr w:type="spellEnd"/>
      <w:r w:rsidRPr="00A35F3B">
        <w:rPr>
          <w:rFonts w:ascii="Times New Roman" w:eastAsia="Times New Roman" w:hAnsi="Times New Roman" w:cs="Times New Roman"/>
          <w:sz w:val="24"/>
          <w:szCs w:val="24"/>
        </w:rPr>
        <w:t xml:space="preserve"> essay “Sports History as American History” is fertile ground for any teacher considering deeply embedding sports as a window on the American experience. Within his narrative, </w:t>
      </w:r>
      <w:proofErr w:type="spellStart"/>
      <w:r w:rsidRPr="00A35F3B">
        <w:rPr>
          <w:rFonts w:ascii="Times New Roman" w:eastAsia="Times New Roman" w:hAnsi="Times New Roman" w:cs="Times New Roman"/>
          <w:sz w:val="24"/>
          <w:szCs w:val="24"/>
        </w:rPr>
        <w:t>Naison</w:t>
      </w:r>
      <w:proofErr w:type="spellEnd"/>
      <w:r w:rsidRPr="00A35F3B">
        <w:rPr>
          <w:rFonts w:ascii="Times New Roman" w:eastAsia="Times New Roman" w:hAnsi="Times New Roman" w:cs="Times New Roman"/>
          <w:sz w:val="24"/>
          <w:szCs w:val="24"/>
        </w:rPr>
        <w:t xml:space="preserve"> illuminates numerous occasions for teachers to replace a tried and true lesson with one that uses a sports event or figure as the narrow example that provides insight into broader issues in American history. Using this essay, teachers can set the stage for engaging and motivating students to investigate more specific lessons on civil rights and gender equality. Each of the following essays provides the teacher an opportunity to use a specific athlete, sport, or event as a case study. An opportunity to substitute the featured sports figure for another prominent historical figure during the same era will allow students to see how the sports world is often expanded into the social or political world. Just as </w:t>
      </w:r>
      <w:proofErr w:type="spellStart"/>
      <w:r w:rsidRPr="00A35F3B">
        <w:rPr>
          <w:rFonts w:ascii="Times New Roman" w:eastAsia="Times New Roman" w:hAnsi="Times New Roman" w:cs="Times New Roman"/>
          <w:sz w:val="24"/>
          <w:szCs w:val="24"/>
        </w:rPr>
        <w:t>Naison’s</w:t>
      </w:r>
      <w:proofErr w:type="spellEnd"/>
      <w:r w:rsidRPr="00A35F3B">
        <w:rPr>
          <w:rFonts w:ascii="Times New Roman" w:eastAsia="Times New Roman" w:hAnsi="Times New Roman" w:cs="Times New Roman"/>
          <w:sz w:val="24"/>
          <w:szCs w:val="24"/>
        </w:rPr>
        <w:t xml:space="preserve"> essay provides an overview for teachers wishing to incorporate sports into their lessons, the following essays provide students the basis for further research or presentations. </w:t>
      </w:r>
    </w:p>
    <w:p w:rsidR="00A35F3B" w:rsidRPr="00A35F3B" w:rsidRDefault="00A35F3B" w:rsidP="00A35F3B">
      <w:pPr>
        <w:spacing w:before="100" w:beforeAutospacing="1" w:after="100" w:afterAutospacing="1" w:line="240" w:lineRule="auto"/>
        <w:rPr>
          <w:rFonts w:ascii="Times New Roman" w:eastAsia="Times New Roman" w:hAnsi="Times New Roman" w:cs="Times New Roman"/>
          <w:sz w:val="24"/>
          <w:szCs w:val="24"/>
        </w:rPr>
      </w:pPr>
      <w:r w:rsidRPr="00A35F3B">
        <w:rPr>
          <w:rFonts w:ascii="Times New Roman" w:eastAsia="Times New Roman" w:hAnsi="Times New Roman" w:cs="Times New Roman"/>
          <w:sz w:val="24"/>
          <w:szCs w:val="24"/>
        </w:rPr>
        <w:t xml:space="preserve">The essays featuring Muhammad Ali, Jackie Robinson, and Satchel Paige are succinct backgrounders for students to read concerning the intersection of race and sports. In each instance the essays provide students an opportunity to compare the efforts of three distinct figures in the struggle for African American civil rights. The biography of each individual illuminates the challenges faced by African Americans to win legal, political, social, and economic equality. Why was Paige not allowed to cross the racial barrier Robinson crossed? </w:t>
      </w:r>
      <w:r w:rsidRPr="00A35F3B">
        <w:rPr>
          <w:rFonts w:ascii="Times New Roman" w:eastAsia="Times New Roman" w:hAnsi="Times New Roman" w:cs="Times New Roman"/>
          <w:sz w:val="24"/>
          <w:szCs w:val="24"/>
        </w:rPr>
        <w:lastRenderedPageBreak/>
        <w:t xml:space="preserve">Why did Ali become such a lightning rod for controversy? These are just two of the questions students could consider as they compare the three athletes. How and why an athlete becomes a force for social change is a theme worthy of study and opens new doors to understanding twentieth century American history. </w:t>
      </w:r>
    </w:p>
    <w:p w:rsidR="00A35F3B" w:rsidRPr="00A35F3B" w:rsidRDefault="00A35F3B" w:rsidP="00A35F3B">
      <w:pPr>
        <w:spacing w:before="100" w:beforeAutospacing="1" w:after="100" w:afterAutospacing="1" w:line="240" w:lineRule="auto"/>
        <w:rPr>
          <w:rFonts w:ascii="Times New Roman" w:eastAsia="Times New Roman" w:hAnsi="Times New Roman" w:cs="Times New Roman"/>
          <w:sz w:val="24"/>
          <w:szCs w:val="24"/>
        </w:rPr>
      </w:pPr>
      <w:r w:rsidRPr="00A35F3B">
        <w:rPr>
          <w:rFonts w:ascii="Times New Roman" w:eastAsia="Times New Roman" w:hAnsi="Times New Roman" w:cs="Times New Roman"/>
          <w:sz w:val="24"/>
          <w:szCs w:val="24"/>
        </w:rPr>
        <w:t xml:space="preserve">Similarly, Kate Buford’s essay on Jim Thorpe empowers teachers to bring the Native American experience into the twentieth century. Oftentimes, Native Americans are dropped from the historical narrative after the defeat at Wounded Knee in 1890. A rich and disturbing history defines the Jim Thorpe narrative and students will readily see that even in the sports world, racism did not stop with African Americans. Thorpe’s life story could be used as a basis for student investigation of the Indian Boarding School movement, the struggle for tribal recognition in the mid-twentieth century, and eventually the civil rights struggles fought by natives in the 1960s and 1970s. Further student investigation into whether there are specific similarities or differences between African and Native American civil rights pursuits and whether sports helped or hindered those efforts could be the subject of student research. </w:t>
      </w:r>
    </w:p>
    <w:p w:rsidR="00A35F3B" w:rsidRPr="00A35F3B" w:rsidRDefault="00A35F3B" w:rsidP="00A35F3B">
      <w:pPr>
        <w:spacing w:before="100" w:beforeAutospacing="1" w:after="100" w:afterAutospacing="1" w:line="240" w:lineRule="auto"/>
        <w:rPr>
          <w:rFonts w:ascii="Times New Roman" w:eastAsia="Times New Roman" w:hAnsi="Times New Roman" w:cs="Times New Roman"/>
          <w:sz w:val="24"/>
          <w:szCs w:val="24"/>
        </w:rPr>
      </w:pPr>
      <w:r w:rsidRPr="00A35F3B">
        <w:rPr>
          <w:rFonts w:ascii="Times New Roman" w:eastAsia="Times New Roman" w:hAnsi="Times New Roman" w:cs="Times New Roman"/>
          <w:sz w:val="24"/>
          <w:szCs w:val="24"/>
        </w:rPr>
        <w:t xml:space="preserve">Motivating students for an in-depth study of gender equality is facilitated by Gail Collins’s essay on the “Battle of the Sexes.” Very few students know about this famous tennis match—and certainly fewer are familiar with the outcome. The essay can serve as a launching pad for student research into the social, political, and economic impacts of the feminist movement of the late twentieth century. Title IX, the battle over the Equal Rights Amendment, the rise of women as a force in politics and business, and numerous other changes can be tied back to Billie Jean King’s public defeat of Bobby Riggs. Collins’s essay can establish a structure for teaching gender equality enabling students to connect athletics to the broader struggles for gender equity fought solely in the political arena. Along the same lines, Barbara Winslow’s overview essay on Title IX can present students with the comparison of education and sports before and after the legislation. With the attached links, students could debate, discuss or research whether Title IX’s benefits were because of sports or in spite of sports. Additionally, Kerry </w:t>
      </w:r>
      <w:proofErr w:type="spellStart"/>
      <w:r w:rsidRPr="00A35F3B">
        <w:rPr>
          <w:rFonts w:ascii="Times New Roman" w:eastAsia="Times New Roman" w:hAnsi="Times New Roman" w:cs="Times New Roman"/>
          <w:sz w:val="24"/>
          <w:szCs w:val="24"/>
        </w:rPr>
        <w:t>Candaele’s</w:t>
      </w:r>
      <w:proofErr w:type="spellEnd"/>
      <w:r w:rsidRPr="00A35F3B">
        <w:rPr>
          <w:rFonts w:ascii="Times New Roman" w:eastAsia="Times New Roman" w:hAnsi="Times New Roman" w:cs="Times New Roman"/>
          <w:sz w:val="24"/>
          <w:szCs w:val="24"/>
        </w:rPr>
        <w:t xml:space="preserve"> reminiscence of the All-American Girls Professional Baseball League could serve as a snapshot of a pre-Title IX women’s league and allow students to examine why the acceptance of women’s professional sports lags behind the acceptance of women in society, politics, and in the workforce. </w:t>
      </w:r>
    </w:p>
    <w:p w:rsidR="00A35F3B" w:rsidRPr="00A35F3B" w:rsidRDefault="00A35F3B" w:rsidP="00A35F3B">
      <w:pPr>
        <w:spacing w:before="100" w:beforeAutospacing="1" w:after="100" w:afterAutospacing="1" w:line="240" w:lineRule="auto"/>
        <w:rPr>
          <w:rFonts w:ascii="Times New Roman" w:eastAsia="Times New Roman" w:hAnsi="Times New Roman" w:cs="Times New Roman"/>
          <w:sz w:val="24"/>
          <w:szCs w:val="24"/>
        </w:rPr>
      </w:pPr>
      <w:r w:rsidRPr="00A35F3B">
        <w:rPr>
          <w:rFonts w:ascii="Times New Roman" w:eastAsia="Times New Roman" w:hAnsi="Times New Roman" w:cs="Times New Roman"/>
          <w:sz w:val="24"/>
          <w:szCs w:val="24"/>
        </w:rPr>
        <w:t>The use of sports to teach both racial and gender equality becomes easier when we examine this edition's essays. Each curriculum-appropriate essay is scholarly and readable for high school students. The writings can be used at appropriate times during the school year. Teachers who want their students to read scholarly writing, think about controversial issues, and formulate opinions based on research and evidence can certainly find use for one or more of the essays featured in this issue. From questions on a specific athlete or event to very broad questions like what role sports played in creating equality or whether one group was more successful than the other two in having sports advance their cause, teachers will find these essays on sports invaluable.</w:t>
      </w:r>
    </w:p>
    <w:p w:rsidR="000233C9" w:rsidRDefault="000233C9"/>
    <w:sectPr w:rsidR="000233C9" w:rsidSect="000233C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A35F3B"/>
    <w:rsid w:val="000233C9"/>
    <w:rsid w:val="005B3F61"/>
    <w:rsid w:val="00A25A13"/>
    <w:rsid w:val="00A35F3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33C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A35F3B"/>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563762716">
      <w:bodyDiv w:val="1"/>
      <w:marLeft w:val="0"/>
      <w:marRight w:val="0"/>
      <w:marTop w:val="0"/>
      <w:marBottom w:val="0"/>
      <w:divBdr>
        <w:top w:val="none" w:sz="0" w:space="0" w:color="auto"/>
        <w:left w:val="none" w:sz="0" w:space="0" w:color="auto"/>
        <w:bottom w:val="none" w:sz="0" w:space="0" w:color="auto"/>
        <w:right w:val="none" w:sz="0" w:space="0" w:color="auto"/>
      </w:divBdr>
      <w:divsChild>
        <w:div w:id="549221031">
          <w:marLeft w:val="0"/>
          <w:marRight w:val="0"/>
          <w:marTop w:val="0"/>
          <w:marBottom w:val="0"/>
          <w:divBdr>
            <w:top w:val="none" w:sz="0" w:space="0" w:color="auto"/>
            <w:left w:val="none" w:sz="0" w:space="0" w:color="auto"/>
            <w:bottom w:val="none" w:sz="0" w:space="0" w:color="auto"/>
            <w:right w:val="none" w:sz="0" w:space="0" w:color="auto"/>
          </w:divBdr>
          <w:divsChild>
            <w:div w:id="240021322">
              <w:marLeft w:val="0"/>
              <w:marRight w:val="0"/>
              <w:marTop w:val="0"/>
              <w:marBottom w:val="0"/>
              <w:divBdr>
                <w:top w:val="none" w:sz="0" w:space="0" w:color="auto"/>
                <w:left w:val="none" w:sz="0" w:space="0" w:color="auto"/>
                <w:bottom w:val="none" w:sz="0" w:space="0" w:color="auto"/>
                <w:right w:val="none" w:sz="0" w:space="0" w:color="auto"/>
              </w:divBdr>
              <w:divsChild>
                <w:div w:id="630986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1067</Words>
  <Characters>6086</Characters>
  <Application>Microsoft Office Word</Application>
  <DocSecurity>0</DocSecurity>
  <Lines>50</Lines>
  <Paragraphs>14</Paragraphs>
  <ScaleCrop>false</ScaleCrop>
  <Company>NE Hamilton</Company>
  <LinksUpToDate>false</LinksUpToDate>
  <CharactersWithSpaces>7139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Tech Director</dc:creator>
  <cp:keywords/>
  <dc:description/>
  <cp:lastModifiedBy>Administrator</cp:lastModifiedBy>
  <cp:revision>2</cp:revision>
  <dcterms:created xsi:type="dcterms:W3CDTF">2012-01-18T19:45:00Z</dcterms:created>
  <dcterms:modified xsi:type="dcterms:W3CDTF">2012-01-18T19:45:00Z</dcterms:modified>
</cp:coreProperties>
</file>